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6800C8">
        <w:rPr>
          <w:rFonts w:cs="Arial"/>
          <w:szCs w:val="22"/>
        </w:rPr>
        <w:t>per il supporto al coordinamento tecnico dell’ufficio di piano si Somma Lombardo.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6800C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  <w:bookmarkStart w:id="0" w:name="_GoBack"/>
      <w:bookmarkEnd w:id="0"/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1F2289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455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2020-07-24T07:00:00Z</dcterms:created>
  <dcterms:modified xsi:type="dcterms:W3CDTF">2020-07-24T11:47:00Z</dcterms:modified>
</cp:coreProperties>
</file>